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69087" w14:textId="1FB1DB28" w:rsidR="00E874E8" w:rsidRPr="00EE76A9" w:rsidRDefault="00E874E8" w:rsidP="00E874E8">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w:t>
      </w:r>
      <w:r w:rsidR="004C7048" w:rsidRPr="004C7048">
        <w:rPr>
          <w:noProof w:val="0"/>
          <w:sz w:val="24"/>
          <w:lang w:val="en-GB"/>
        </w:rPr>
        <w:t>NR Ad-Hoc meeting</w:t>
      </w:r>
      <w:r w:rsidRPr="008C1FE3">
        <w:rPr>
          <w:bCs/>
          <w:noProof w:val="0"/>
          <w:sz w:val="24"/>
          <w:lang w:val="en-GB"/>
        </w:rPr>
        <w:tab/>
      </w:r>
      <w:r w:rsidR="00C333D0" w:rsidRPr="00C333D0">
        <w:rPr>
          <w:bCs/>
          <w:noProof w:val="0"/>
          <w:sz w:val="24"/>
          <w:lang w:val="en-GB" w:eastAsia="ja-JP"/>
        </w:rPr>
        <w:t>R1-1701031</w:t>
      </w:r>
    </w:p>
    <w:p w14:paraId="15338434" w14:textId="77777777" w:rsidR="00E874E8" w:rsidRPr="00461210" w:rsidRDefault="00E874E8" w:rsidP="00E874E8">
      <w:pPr>
        <w:pStyle w:val="Header"/>
        <w:tabs>
          <w:tab w:val="right" w:pos="9639"/>
        </w:tabs>
        <w:rPr>
          <w:bCs/>
          <w:noProof w:val="0"/>
          <w:sz w:val="24"/>
          <w:lang w:val="en-GB"/>
        </w:rPr>
      </w:pPr>
      <w:r>
        <w:rPr>
          <w:noProof w:val="0"/>
          <w:sz w:val="24"/>
          <w:lang w:val="en-GB"/>
        </w:rPr>
        <w:t>Spokane, U.S.A., January</w:t>
      </w:r>
      <w:r>
        <w:rPr>
          <w:bCs/>
          <w:sz w:val="24"/>
          <w:lang w:eastAsia="zh-CN"/>
        </w:rPr>
        <w:t xml:space="preserve"> 16-20, </w:t>
      </w:r>
      <w:r w:rsidRPr="00235B77">
        <w:rPr>
          <w:bCs/>
          <w:sz w:val="24"/>
          <w:lang w:eastAsia="zh-CN"/>
        </w:rPr>
        <w:t>201</w:t>
      </w:r>
      <w:r>
        <w:rPr>
          <w:bCs/>
          <w:sz w:val="24"/>
          <w:lang w:eastAsia="zh-CN"/>
        </w:rPr>
        <w:t>7</w:t>
      </w:r>
    </w:p>
    <w:bookmarkEnd w:id="0"/>
    <w:bookmarkEnd w:id="1"/>
    <w:p w14:paraId="74638DCA" w14:textId="77777777" w:rsidR="00E874E8" w:rsidRPr="007B7496" w:rsidRDefault="00E874E8" w:rsidP="00E874E8">
      <w:pPr>
        <w:pStyle w:val="Header"/>
        <w:rPr>
          <w:bCs/>
          <w:noProof w:val="0"/>
          <w:sz w:val="24"/>
          <w:lang w:val="en-GB" w:eastAsia="ja-JP"/>
        </w:rPr>
      </w:pPr>
    </w:p>
    <w:p w14:paraId="2A43627D" w14:textId="349B43F2" w:rsidR="00E874E8" w:rsidRPr="007B7496" w:rsidRDefault="00E874E8" w:rsidP="00E874E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5.1.5.</w:t>
      </w:r>
      <w:r w:rsidR="007106E8">
        <w:rPr>
          <w:rFonts w:cs="Arial"/>
          <w:b/>
          <w:bCs/>
          <w:sz w:val="24"/>
        </w:rPr>
        <w:t>1</w:t>
      </w:r>
      <w:bookmarkStart w:id="3" w:name="_GoBack"/>
      <w:bookmarkEnd w:id="3"/>
    </w:p>
    <w:p w14:paraId="762622A9" w14:textId="77777777" w:rsidR="00E874E8" w:rsidRPr="00F174DB" w:rsidRDefault="00E874E8" w:rsidP="00E874E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142410F8" w:rsidR="00E874E8" w:rsidRPr="00F174DB" w:rsidRDefault="00E874E8" w:rsidP="00E874E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C5265C">
        <w:rPr>
          <w:rFonts w:ascii="Arial" w:hAnsi="Arial" w:cs="Arial"/>
          <w:b/>
          <w:bCs/>
          <w:sz w:val="24"/>
        </w:rPr>
        <w:t>Padding for LDPC codes</w:t>
      </w:r>
    </w:p>
    <w:p w14:paraId="6D3C68A4" w14:textId="77777777" w:rsidR="00E874E8" w:rsidRPr="007B7496" w:rsidRDefault="00E874E8" w:rsidP="00E874E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1BD35EF2" w14:textId="2F95194D" w:rsidR="00C5265C" w:rsidRDefault="00B013E7" w:rsidP="00C11369">
      <w:pPr>
        <w:jc w:val="both"/>
        <w:rPr>
          <w:rFonts w:ascii="Times New Roman" w:hAnsi="Times New Roman" w:cs="Times New Roman"/>
          <w:sz w:val="20"/>
          <w:szCs w:val="20"/>
        </w:rPr>
      </w:pPr>
      <w:r w:rsidRPr="00B013E7">
        <w:rPr>
          <w:rFonts w:ascii="Times New Roman" w:hAnsi="Times New Roman" w:cs="Times New Roman"/>
          <w:sz w:val="20"/>
          <w:szCs w:val="20"/>
        </w:rPr>
        <w:t>In Ran1 #8</w:t>
      </w:r>
      <w:r w:rsidR="00E874E8">
        <w:rPr>
          <w:rFonts w:ascii="Times New Roman" w:hAnsi="Times New Roman" w:cs="Times New Roman"/>
          <w:sz w:val="20"/>
          <w:szCs w:val="20"/>
        </w:rPr>
        <w:t>7 meeting</w:t>
      </w:r>
      <w:r w:rsidRPr="00B013E7">
        <w:rPr>
          <w:rFonts w:ascii="Times New Roman" w:hAnsi="Times New Roman" w:cs="Times New Roman"/>
          <w:sz w:val="20"/>
          <w:szCs w:val="20"/>
        </w:rPr>
        <w:t xml:space="preserve">, </w:t>
      </w:r>
      <w:r w:rsidR="002F3C35">
        <w:rPr>
          <w:rFonts w:ascii="Times New Roman" w:hAnsi="Times New Roman" w:cs="Times New Roman"/>
          <w:sz w:val="20"/>
          <w:szCs w:val="20"/>
        </w:rPr>
        <w:t xml:space="preserve">LDPC was selected as the coding scheme of eMBB data. </w:t>
      </w:r>
      <w:r w:rsidR="00C5265C">
        <w:rPr>
          <w:rFonts w:ascii="Times New Roman" w:hAnsi="Times New Roman" w:cs="Times New Roman"/>
          <w:sz w:val="20"/>
          <w:szCs w:val="20"/>
        </w:rPr>
        <w:t xml:space="preserve">In particular, the following agreement was made, </w:t>
      </w:r>
    </w:p>
    <w:p w14:paraId="0788E533" w14:textId="77777777" w:rsidR="00C5265C" w:rsidRPr="003F0887" w:rsidRDefault="00C5265C" w:rsidP="00C5265C">
      <w:pPr>
        <w:rPr>
          <w:rFonts w:ascii="Times New Roman" w:eastAsia="MS Mincho" w:hAnsi="Times New Roman"/>
          <w:b/>
          <w:sz w:val="20"/>
          <w:highlight w:val="yellow"/>
          <w:u w:val="single"/>
          <w:lang w:eastAsia="ja-JP"/>
        </w:rPr>
      </w:pPr>
      <w:r w:rsidRPr="003F0887">
        <w:rPr>
          <w:rFonts w:ascii="Times New Roman" w:eastAsia="MS Mincho" w:hAnsi="Times New Roman"/>
          <w:b/>
          <w:sz w:val="20"/>
          <w:highlight w:val="green"/>
          <w:u w:val="single"/>
          <w:lang w:eastAsia="ja-JP"/>
        </w:rPr>
        <w:t xml:space="preserve">Agreement: </w:t>
      </w:r>
    </w:p>
    <w:p w14:paraId="29CD94B2"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eMBB data channels:</w:t>
      </w:r>
    </w:p>
    <w:p w14:paraId="4ECE28DC"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highlight w:val="darkYellow"/>
          <w:lang w:eastAsia="ja-JP"/>
        </w:rPr>
        <w:t>Working Assumption</w:t>
      </w:r>
      <w:r w:rsidRPr="003F0887">
        <w:rPr>
          <w:rFonts w:ascii="Times New Roman" w:eastAsia="MS Mincho" w:hAnsi="Times New Roman"/>
          <w:sz w:val="20"/>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14:paraId="5602629A"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(Note that it is already agreed to adopt LDPC for large block sizes)</w:t>
      </w:r>
    </w:p>
    <w:p w14:paraId="348D9041"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DL eMBB data channels:</w:t>
      </w:r>
    </w:p>
    <w:p w14:paraId="35E3CD14"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Adopt flexible LDPC as the single channel coding scheme for all block sizes</w:t>
      </w:r>
    </w:p>
    <w:p w14:paraId="7F3F4C55"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control information for eMBB</w:t>
      </w:r>
    </w:p>
    <w:p w14:paraId="3A605170"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 xml:space="preserve">Adopt Polar Coding (except FFS for </w:t>
      </w:r>
      <w:r w:rsidRPr="003F0887">
        <w:rPr>
          <w:rFonts w:ascii="Times New Roman" w:eastAsia="MS Mincho" w:hAnsi="Times New Roman"/>
          <w:sz w:val="20"/>
          <w:lang w:val="en-US" w:eastAsia="ja-JP"/>
        </w:rPr>
        <w:t>very small block lengths where repetition/block coding may be preferred)</w:t>
      </w:r>
    </w:p>
    <w:p w14:paraId="1C211992"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val="en-US" w:eastAsia="ja-JP"/>
        </w:rPr>
        <w:t>DL control information for eMBB</w:t>
      </w:r>
    </w:p>
    <w:p w14:paraId="3CDEAE63"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highlight w:val="darkYellow"/>
          <w:lang w:eastAsia="ja-JP"/>
        </w:rPr>
        <w:t xml:space="preserve">Working Assumption </w:t>
      </w:r>
      <w:r w:rsidRPr="003F0887">
        <w:rPr>
          <w:rFonts w:ascii="Times New Roman" w:eastAsia="MS Mincho" w:hAnsi="Times New Roman"/>
          <w:sz w:val="20"/>
          <w:lang w:eastAsia="ja-JP"/>
        </w:rPr>
        <w:t xml:space="preserve">to adopt Polar Coding (except FFS for </w:t>
      </w:r>
      <w:r w:rsidRPr="003F0887">
        <w:rPr>
          <w:rFonts w:ascii="Times New Roman" w:eastAsia="MS Mincho" w:hAnsi="Times New Roman"/>
          <w:sz w:val="20"/>
          <w:lang w:val="en-US" w:eastAsia="ja-JP"/>
        </w:rPr>
        <w:t>very small block lengths where repetition/block coding may be preferred)</w:t>
      </w:r>
    </w:p>
    <w:p w14:paraId="45D4D638" w14:textId="77777777" w:rsidR="00C5265C" w:rsidRPr="003F0887" w:rsidRDefault="00C5265C" w:rsidP="00C5265C">
      <w:pPr>
        <w:numPr>
          <w:ilvl w:val="2"/>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val="en-US" w:eastAsia="ja-JP"/>
        </w:rPr>
        <w:t>To be confirmed unless significant issues are identified by the RAN1 Jan adhoc in relation to performance, latency, power consumption and implementation complexity</w:t>
      </w:r>
    </w:p>
    <w:p w14:paraId="4AE9D478" w14:textId="77777777" w:rsidR="00C5265C" w:rsidRDefault="00C5265C" w:rsidP="00C11369">
      <w:pPr>
        <w:jc w:val="both"/>
        <w:rPr>
          <w:rFonts w:ascii="Times New Roman" w:hAnsi="Times New Roman" w:cs="Times New Roman"/>
          <w:sz w:val="20"/>
          <w:szCs w:val="20"/>
        </w:rPr>
      </w:pPr>
    </w:p>
    <w:p w14:paraId="585A75AB" w14:textId="47888D0F" w:rsidR="00C11369" w:rsidRDefault="004B6B38" w:rsidP="00C11369">
      <w:pPr>
        <w:jc w:val="both"/>
        <w:rPr>
          <w:rFonts w:ascii="Times New Roman" w:hAnsi="Times New Roman" w:cs="Times New Roman"/>
          <w:sz w:val="20"/>
          <w:szCs w:val="20"/>
        </w:rPr>
      </w:pPr>
      <w:r>
        <w:rPr>
          <w:rFonts w:ascii="Times New Roman" w:hAnsi="Times New Roman" w:cs="Times New Roman"/>
          <w:sz w:val="20"/>
          <w:szCs w:val="20"/>
        </w:rPr>
        <w:t>In this contribution</w:t>
      </w:r>
      <w:r w:rsidR="00C5265C">
        <w:rPr>
          <w:rFonts w:ascii="Times New Roman" w:hAnsi="Times New Roman" w:cs="Times New Roman"/>
          <w:sz w:val="20"/>
          <w:szCs w:val="20"/>
        </w:rPr>
        <w:t xml:space="preserve">, we discuss </w:t>
      </w:r>
      <w:r>
        <w:rPr>
          <w:rFonts w:ascii="Times New Roman" w:hAnsi="Times New Roman" w:cs="Times New Roman"/>
          <w:sz w:val="20"/>
          <w:szCs w:val="20"/>
        </w:rPr>
        <w:t xml:space="preserve">several </w:t>
      </w:r>
      <w:r w:rsidR="00C5265C">
        <w:rPr>
          <w:rFonts w:ascii="Times New Roman" w:hAnsi="Times New Roman" w:cs="Times New Roman"/>
          <w:sz w:val="20"/>
          <w:szCs w:val="20"/>
        </w:rPr>
        <w:t xml:space="preserve">padding techniques that </w:t>
      </w:r>
      <w:r>
        <w:rPr>
          <w:rFonts w:ascii="Times New Roman" w:hAnsi="Times New Roman" w:cs="Times New Roman"/>
          <w:sz w:val="20"/>
          <w:szCs w:val="20"/>
        </w:rPr>
        <w:t xml:space="preserve">can be useful with </w:t>
      </w:r>
      <w:r w:rsidR="00C5265C">
        <w:rPr>
          <w:rFonts w:ascii="Times New Roman" w:hAnsi="Times New Roman" w:cs="Times New Roman"/>
          <w:sz w:val="20"/>
          <w:szCs w:val="20"/>
        </w:rPr>
        <w:t xml:space="preserve">LDPC codes. </w:t>
      </w:r>
    </w:p>
    <w:p w14:paraId="5F471C68" w14:textId="4E3A4570" w:rsidR="00214D8F" w:rsidRDefault="00B10DFE" w:rsidP="00B10DFE">
      <w:pPr>
        <w:pStyle w:val="Heading1"/>
        <w:rPr>
          <w:lang w:eastAsia="zh-CN"/>
        </w:rPr>
      </w:pPr>
      <w:bookmarkStart w:id="4" w:name="OLE_LINK9"/>
      <w:bookmarkStart w:id="5" w:name="OLE_LINK10"/>
      <w:bookmarkStart w:id="6" w:name="OLE_LINK13"/>
      <w:bookmarkStart w:id="7" w:name="OLE_LINK14"/>
      <w:r>
        <w:rPr>
          <w:lang w:eastAsia="zh-CN"/>
        </w:rPr>
        <w:t>2</w:t>
      </w:r>
      <w:r>
        <w:rPr>
          <w:lang w:eastAsia="zh-CN"/>
        </w:rPr>
        <w:tab/>
      </w:r>
      <w:r w:rsidR="00C5265C">
        <w:rPr>
          <w:lang w:eastAsia="zh-CN"/>
        </w:rPr>
        <w:t>Padding techniques</w:t>
      </w:r>
    </w:p>
    <w:p w14:paraId="4EE3400D" w14:textId="77777777" w:rsidR="00903532" w:rsidRDefault="00903532" w:rsidP="00E943F5">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Padding is often considered when the info block size at the encoder does not satisfy required block size to encode. When LDPC codes do not support very fine granularity of block sizes with their shift network, the padding overhead can be higher. Puncturing of these padded bits is required to prevent significant losses in the spectral efficiency. In next sections, we discuss different techniques of padding which can be useful in various use cases that we expect within the eMBB data channel. </w:t>
      </w:r>
    </w:p>
    <w:p w14:paraId="00BC767C" w14:textId="2DDBDE08" w:rsidR="00265837" w:rsidRDefault="00100A92" w:rsidP="00100A92">
      <w:pPr>
        <w:jc w:val="center"/>
      </w:pPr>
      <w:r>
        <w:object w:dxaOrig="5452" w:dyaOrig="2868" w14:anchorId="4C169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143.4pt" o:ole="">
            <v:imagedata r:id="rId12" o:title=""/>
          </v:shape>
          <o:OLEObject Type="Embed" ProgID="Visio.Drawing.11" ShapeID="_x0000_i1025" DrawAspect="Content" ObjectID="_1545489422" r:id="rId13"/>
        </w:object>
      </w:r>
    </w:p>
    <w:p w14:paraId="6349DB41" w14:textId="0E30F849" w:rsidR="00E943F5" w:rsidRPr="00E943F5" w:rsidRDefault="00E943F5" w:rsidP="00E943F5">
      <w:pPr>
        <w:jc w:val="center"/>
        <w:rPr>
          <w:rFonts w:ascii="Times New Roman" w:hAnsi="Times New Roman" w:cs="Times New Roman"/>
          <w:sz w:val="20"/>
          <w:lang w:eastAsia="zh-CN"/>
        </w:rPr>
      </w:pPr>
      <w:r w:rsidRPr="00E943F5">
        <w:rPr>
          <w:rFonts w:ascii="Times New Roman" w:hAnsi="Times New Roman" w:cs="Times New Roman"/>
          <w:sz w:val="20"/>
        </w:rPr>
        <w:t xml:space="preserve">Figure </w:t>
      </w:r>
      <w:r w:rsidR="0040350D" w:rsidRPr="00E943F5">
        <w:rPr>
          <w:rFonts w:ascii="Times New Roman" w:hAnsi="Times New Roman" w:cs="Times New Roman"/>
          <w:sz w:val="20"/>
        </w:rPr>
        <w:t>1:</w:t>
      </w:r>
      <w:r w:rsidRPr="00E943F5">
        <w:rPr>
          <w:rFonts w:ascii="Times New Roman" w:hAnsi="Times New Roman" w:cs="Times New Roman"/>
          <w:sz w:val="20"/>
        </w:rPr>
        <w:t xml:space="preserve"> Padding to support encoding process</w:t>
      </w:r>
    </w:p>
    <w:p w14:paraId="6CF9A9AC" w14:textId="6D588832" w:rsidR="00396475" w:rsidRDefault="00214D8F" w:rsidP="00214D8F">
      <w:pPr>
        <w:pStyle w:val="Heading2"/>
        <w:rPr>
          <w:lang w:eastAsia="zh-CN"/>
        </w:rPr>
      </w:pPr>
      <w:r>
        <w:rPr>
          <w:lang w:eastAsia="zh-CN"/>
        </w:rPr>
        <w:lastRenderedPageBreak/>
        <w:t>2.1</w:t>
      </w:r>
      <w:r>
        <w:rPr>
          <w:lang w:eastAsia="zh-CN"/>
        </w:rPr>
        <w:tab/>
      </w:r>
      <w:r w:rsidR="00C5265C">
        <w:rPr>
          <w:lang w:eastAsia="zh-CN"/>
        </w:rPr>
        <w:t xml:space="preserve">Zero </w:t>
      </w:r>
      <w:r w:rsidR="00072C25">
        <w:rPr>
          <w:lang w:eastAsia="zh-CN"/>
        </w:rPr>
        <w:t>p</w:t>
      </w:r>
      <w:r w:rsidR="00C5265C">
        <w:rPr>
          <w:lang w:eastAsia="zh-CN"/>
        </w:rPr>
        <w:t xml:space="preserve">adding </w:t>
      </w:r>
    </w:p>
    <w:p w14:paraId="10AD5590" w14:textId="77777777" w:rsidR="00903532" w:rsidRDefault="00903532" w:rsidP="006557B6">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Zero padding is the most practical method of padding or filling, and commonly used by many other standards. In particular, the padding bits showed in Figure 1 are set to be zero bits (or known sequence of bits). In most cases, these bits are punctured after encoding. These zero padding bits also increases the amount of parity bits, where we may have to puncture some bits in addition to the padded bits if we need to maintain exact spectral efficiency. At the decoder, we add these punctured zero padding bits with matching LLRs which often set as max/min LLR values. Zero padding can be applied to NR eMBB scenario when the number of CBs are small, padding overhead is significant, and simple operations are required. </w:t>
      </w:r>
    </w:p>
    <w:bookmarkEnd w:id="4"/>
    <w:bookmarkEnd w:id="5"/>
    <w:p w14:paraId="77462F51" w14:textId="1FF240DF" w:rsidR="00995CB9" w:rsidRPr="000151CB" w:rsidRDefault="00995CB9" w:rsidP="00995CB9">
      <w:pPr>
        <w:pStyle w:val="Heading2"/>
        <w:rPr>
          <w:rFonts w:ascii="Times New Roman" w:hAnsi="Times New Roman"/>
          <w:lang w:eastAsia="zh-CN"/>
        </w:rPr>
      </w:pPr>
      <w:r w:rsidRPr="000151CB">
        <w:rPr>
          <w:rFonts w:ascii="Times New Roman" w:hAnsi="Times New Roman"/>
          <w:lang w:eastAsia="zh-CN"/>
        </w:rPr>
        <w:t>2.2</w:t>
      </w:r>
      <w:r w:rsidRPr="000151CB">
        <w:rPr>
          <w:rFonts w:ascii="Times New Roman" w:hAnsi="Times New Roman"/>
          <w:lang w:eastAsia="zh-CN"/>
        </w:rPr>
        <w:tab/>
      </w:r>
      <w:r w:rsidR="00E943F5" w:rsidRPr="000151CB">
        <w:rPr>
          <w:rFonts w:ascii="Times New Roman" w:hAnsi="Times New Roman"/>
          <w:lang w:eastAsia="zh-CN"/>
        </w:rPr>
        <w:t>Repeat</w:t>
      </w:r>
      <w:r w:rsidR="00C5265C" w:rsidRPr="000151CB">
        <w:rPr>
          <w:rFonts w:ascii="Times New Roman" w:hAnsi="Times New Roman"/>
          <w:lang w:eastAsia="zh-CN"/>
        </w:rPr>
        <w:t xml:space="preserve"> padding </w:t>
      </w:r>
    </w:p>
    <w:p w14:paraId="21936F81" w14:textId="77777777" w:rsidR="0040350D" w:rsidRDefault="0040350D" w:rsidP="000151CB">
      <w:pPr>
        <w:jc w:val="both"/>
        <w:rPr>
          <w:rFonts w:ascii="Times New Roman" w:hAnsi="Times New Roman" w:cs="Times New Roman"/>
          <w:sz w:val="20"/>
        </w:rPr>
      </w:pPr>
      <w:r w:rsidRPr="0040350D">
        <w:rPr>
          <w:rFonts w:ascii="Times New Roman" w:hAnsi="Times New Roman" w:cs="Times New Roman"/>
          <w:sz w:val="20"/>
        </w:rPr>
        <w:t>In eMBB, we expect larger transport block sizes which lead to having a higher number of code blocks. Considering similar HARQ schemes as in LTE, i.e., single ack/nack for a TB, the transmission efficiency will be lower as single CB error cause retransmission of full TB. Mechanism to prevent such issues were proposed in [1-2] considering new transmission techniques such as XOR coding and outer codes. The same error protection can be provided proper use of padding bits we expect with LDPC.</w:t>
      </w:r>
    </w:p>
    <w:p w14:paraId="0839FA5A" w14:textId="77777777" w:rsidR="00072C25" w:rsidRPr="000151CB" w:rsidRDefault="00072C25" w:rsidP="000151CB">
      <w:pPr>
        <w:jc w:val="both"/>
        <w:rPr>
          <w:rFonts w:ascii="Times New Roman" w:hAnsi="Times New Roman" w:cs="Times New Roman"/>
          <w:sz w:val="20"/>
        </w:rPr>
      </w:pPr>
      <w:r w:rsidRPr="000151CB">
        <w:rPr>
          <w:rFonts w:ascii="Times New Roman" w:hAnsi="Times New Roman" w:cs="Times New Roman"/>
          <w:sz w:val="20"/>
        </w:rPr>
        <w:t>In repeat padding</w:t>
      </w:r>
      <w:r w:rsidR="006557B6" w:rsidRPr="000151CB">
        <w:rPr>
          <w:rFonts w:ascii="Times New Roman" w:hAnsi="Times New Roman" w:cs="Times New Roman"/>
          <w:sz w:val="20"/>
        </w:rPr>
        <w:t xml:space="preserve">, information bits of a neighbouring CB is used as the padding to satisfy encoding requirements, then use this additional information </w:t>
      </w:r>
      <w:r w:rsidRPr="000151CB">
        <w:rPr>
          <w:rFonts w:ascii="Times New Roman" w:hAnsi="Times New Roman" w:cs="Times New Roman"/>
          <w:sz w:val="20"/>
        </w:rPr>
        <w:t xml:space="preserve">is used </w:t>
      </w:r>
      <w:r w:rsidR="006557B6" w:rsidRPr="000151CB">
        <w:rPr>
          <w:rFonts w:ascii="Times New Roman" w:hAnsi="Times New Roman" w:cs="Times New Roman"/>
          <w:sz w:val="20"/>
        </w:rPr>
        <w:t>to improve the performance of both code blocks. For example, the padding bits of the first CB is set by repeating of part of the information bits in the second CB. That can be continued for all other code blocks such that all blocks are repeating some information instead of zero bits. As the receiver, the initial LLR for repeat information bits can be exchanged depending on which received block goes through the decoder firstly and successfully passes the parity check</w:t>
      </w:r>
      <w:r w:rsidRPr="000151CB">
        <w:rPr>
          <w:rFonts w:ascii="Times New Roman" w:hAnsi="Times New Roman" w:cs="Times New Roman"/>
          <w:sz w:val="20"/>
        </w:rPr>
        <w:t xml:space="preserve"> (or CRC check)</w:t>
      </w:r>
      <w:r w:rsidR="006557B6" w:rsidRPr="000151CB">
        <w:rPr>
          <w:rFonts w:ascii="Times New Roman" w:hAnsi="Times New Roman" w:cs="Times New Roman"/>
          <w:sz w:val="20"/>
        </w:rPr>
        <w:t>. Then, the repeated bits can be used as known bits for the next received block. In this way, the padding bits are used to improve the performance of all CBs. There can be several ways to include RP depending on the decoding mechanism employed by the receiver.</w:t>
      </w:r>
      <w:r w:rsidRPr="000151CB">
        <w:rPr>
          <w:rFonts w:ascii="Times New Roman" w:hAnsi="Times New Roman" w:cs="Times New Roman"/>
          <w:sz w:val="20"/>
        </w:rPr>
        <w:t xml:space="preserve"> </w:t>
      </w:r>
    </w:p>
    <w:p w14:paraId="2928B9A7" w14:textId="3345FDC0" w:rsidR="006557B6" w:rsidRDefault="00072C25" w:rsidP="000151CB">
      <w:pPr>
        <w:jc w:val="both"/>
        <w:rPr>
          <w:rFonts w:ascii="Times New Roman" w:hAnsi="Times New Roman" w:cs="Times New Roman"/>
          <w:sz w:val="20"/>
        </w:rPr>
      </w:pPr>
      <w:r w:rsidRPr="000151CB">
        <w:rPr>
          <w:rFonts w:ascii="Times New Roman" w:hAnsi="Times New Roman" w:cs="Times New Roman"/>
          <w:sz w:val="20"/>
        </w:rPr>
        <w:t xml:space="preserve">An example of repeat padding is illustrated in Figure 2. After code segmentation, part of the CB 2 is repeated to fill the required information block to start encoding process of the CB1. The similar procedure continues till the last CB, i.e., CB L. RP added to the CB L is from the CB 1. </w:t>
      </w:r>
    </w:p>
    <w:p w14:paraId="3A02465E" w14:textId="77777777" w:rsidR="000151CB" w:rsidRPr="000151CB" w:rsidRDefault="000151CB" w:rsidP="000151CB">
      <w:pPr>
        <w:jc w:val="both"/>
        <w:rPr>
          <w:rFonts w:ascii="Times New Roman" w:hAnsi="Times New Roman" w:cs="Times New Roman"/>
          <w:lang w:eastAsia="zh-CN"/>
        </w:rPr>
      </w:pPr>
    </w:p>
    <w:p w14:paraId="23AE50DB" w14:textId="2BF8E987" w:rsidR="00E943F5" w:rsidRPr="000151CB" w:rsidRDefault="00184EBD" w:rsidP="00E943F5">
      <w:pPr>
        <w:jc w:val="center"/>
        <w:rPr>
          <w:rFonts w:ascii="Times New Roman" w:hAnsi="Times New Roman" w:cs="Times New Roman"/>
        </w:rPr>
      </w:pPr>
      <w:r w:rsidRPr="000151CB">
        <w:rPr>
          <w:rFonts w:ascii="Times New Roman" w:hAnsi="Times New Roman" w:cs="Times New Roman"/>
        </w:rPr>
        <w:object w:dxaOrig="9756" w:dyaOrig="5708" w14:anchorId="7160B434">
          <v:shape id="_x0000_i1026" type="#_x0000_t75" style="width:341pt;height:199.3pt" o:ole="">
            <v:imagedata r:id="rId14" o:title=""/>
          </v:shape>
          <o:OLEObject Type="Embed" ProgID="Visio.Drawing.11" ShapeID="_x0000_i1026" DrawAspect="Content" ObjectID="_1545489423" r:id="rId15"/>
        </w:object>
      </w:r>
    </w:p>
    <w:p w14:paraId="2DC81A4B" w14:textId="1ED05124" w:rsidR="00E943F5" w:rsidRPr="000151CB" w:rsidRDefault="00E943F5" w:rsidP="00E943F5">
      <w:pPr>
        <w:jc w:val="center"/>
        <w:rPr>
          <w:rFonts w:ascii="Times New Roman" w:hAnsi="Times New Roman" w:cs="Times New Roman"/>
          <w:sz w:val="20"/>
          <w:lang w:eastAsia="zh-CN"/>
        </w:rPr>
      </w:pPr>
      <w:r w:rsidRPr="000151CB">
        <w:rPr>
          <w:rFonts w:ascii="Times New Roman" w:hAnsi="Times New Roman" w:cs="Times New Roman"/>
          <w:sz w:val="20"/>
        </w:rPr>
        <w:t xml:space="preserve">Figure </w:t>
      </w:r>
      <w:r w:rsidR="0040350D" w:rsidRPr="000151CB">
        <w:rPr>
          <w:rFonts w:ascii="Times New Roman" w:hAnsi="Times New Roman" w:cs="Times New Roman"/>
          <w:sz w:val="20"/>
        </w:rPr>
        <w:t>2:</w:t>
      </w:r>
      <w:r w:rsidRPr="000151CB">
        <w:rPr>
          <w:rFonts w:ascii="Times New Roman" w:hAnsi="Times New Roman" w:cs="Times New Roman"/>
          <w:sz w:val="20"/>
        </w:rPr>
        <w:t xml:space="preserve"> Repeating parts of </w:t>
      </w:r>
      <w:r w:rsidR="00FA52FF" w:rsidRPr="000151CB">
        <w:rPr>
          <w:rFonts w:ascii="Times New Roman" w:hAnsi="Times New Roman" w:cs="Times New Roman"/>
          <w:sz w:val="20"/>
        </w:rPr>
        <w:t>previous CBs</w:t>
      </w:r>
      <w:r w:rsidRPr="000151CB">
        <w:rPr>
          <w:rFonts w:ascii="Times New Roman" w:hAnsi="Times New Roman" w:cs="Times New Roman"/>
          <w:sz w:val="20"/>
        </w:rPr>
        <w:t xml:space="preserve"> to support encoding process</w:t>
      </w:r>
    </w:p>
    <w:p w14:paraId="1BCA25DA" w14:textId="77777777" w:rsidR="00072C25" w:rsidRPr="000151CB" w:rsidRDefault="00072C25" w:rsidP="006557B6">
      <w:pPr>
        <w:jc w:val="both"/>
        <w:rPr>
          <w:rFonts w:ascii="Times New Roman" w:hAnsi="Times New Roman" w:cs="Times New Roman"/>
          <w:sz w:val="20"/>
        </w:rPr>
      </w:pPr>
    </w:p>
    <w:p w14:paraId="20315F4B" w14:textId="3C9832CA" w:rsidR="006557B6" w:rsidRPr="000151CB" w:rsidRDefault="006557B6" w:rsidP="006557B6">
      <w:pPr>
        <w:jc w:val="both"/>
        <w:rPr>
          <w:rFonts w:ascii="Times New Roman" w:hAnsi="Times New Roman" w:cs="Times New Roman"/>
          <w:sz w:val="20"/>
        </w:rPr>
      </w:pPr>
      <w:r w:rsidRPr="000151CB">
        <w:rPr>
          <w:rFonts w:ascii="Times New Roman" w:hAnsi="Times New Roman" w:cs="Times New Roman"/>
          <w:sz w:val="20"/>
        </w:rPr>
        <w:t>At the receiver, decoding procedure for sequential processing is shown in Figure 3.  When the decoding is successful for CB 1, corresponding LLRs of repetition bits in the second received block are updated, which now contains more reliable information to start the decoding process.  This process continues for all other received blocks. For example, if previous CB</w:t>
      </w:r>
      <w:r w:rsidR="00072C25" w:rsidRPr="000151CB">
        <w:rPr>
          <w:rFonts w:ascii="Times New Roman" w:hAnsi="Times New Roman" w:cs="Times New Roman"/>
          <w:sz w:val="20"/>
        </w:rPr>
        <w:t xml:space="preserve"> is detected without error</w:t>
      </w:r>
      <w:r w:rsidRPr="000151CB">
        <w:rPr>
          <w:rFonts w:ascii="Times New Roman" w:hAnsi="Times New Roman" w:cs="Times New Roman"/>
          <w:sz w:val="20"/>
        </w:rPr>
        <w:t xml:space="preserve">, some LLRs (repeated bits) in the current block can be updated as –Inf/Inf when </w:t>
      </w:r>
      <w:r w:rsidRPr="000151CB">
        <w:rPr>
          <w:rFonts w:ascii="Times New Roman" w:hAnsi="Times New Roman" w:cs="Times New Roman"/>
          <w:sz w:val="20"/>
        </w:rPr>
        <w:lastRenderedPageBreak/>
        <w:t xml:space="preserve">repeated bits are -1/1. </w:t>
      </w:r>
      <w:r w:rsidR="000151CB" w:rsidRPr="000151CB">
        <w:rPr>
          <w:rFonts w:ascii="Times New Roman" w:hAnsi="Times New Roman" w:cs="Times New Roman"/>
          <w:sz w:val="20"/>
        </w:rPr>
        <w:t xml:space="preserve">If the one CB (or few) are detected with error, decoder can keep decoding next CBs provide possibility of decoding the errored block in the next attempt with known bits that carried by </w:t>
      </w:r>
      <w:r w:rsidR="00B231DF">
        <w:rPr>
          <w:rFonts w:ascii="Times New Roman" w:hAnsi="Times New Roman" w:cs="Times New Roman"/>
          <w:sz w:val="20"/>
        </w:rPr>
        <w:t>successfully</w:t>
      </w:r>
      <w:r w:rsidR="000151CB" w:rsidRPr="000151CB">
        <w:rPr>
          <w:rFonts w:ascii="Times New Roman" w:hAnsi="Times New Roman" w:cs="Times New Roman"/>
          <w:sz w:val="20"/>
        </w:rPr>
        <w:t xml:space="preserve"> decoded CBs.  </w:t>
      </w:r>
    </w:p>
    <w:p w14:paraId="5C8EECAF" w14:textId="52F65E9B"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9666" w:dyaOrig="2597" w14:anchorId="34B9B335">
          <v:shape id="_x0000_i1027" type="#_x0000_t75" style="width:323.7pt;height:87pt" o:ole="">
            <v:imagedata r:id="rId16" o:title=""/>
          </v:shape>
          <o:OLEObject Type="Embed" ProgID="Visio.Drawing.11" ShapeID="_x0000_i1027" DrawAspect="Content" ObjectID="_1545489424" r:id="rId17"/>
        </w:object>
      </w:r>
    </w:p>
    <w:p w14:paraId="09128D01" w14:textId="5AB4DF6A"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(a)</w:t>
      </w:r>
    </w:p>
    <w:p w14:paraId="27B80C19" w14:textId="77777777" w:rsidR="00184EBD" w:rsidRPr="00A80B98" w:rsidRDefault="00184EBD" w:rsidP="00184EBD">
      <w:pPr>
        <w:jc w:val="center"/>
        <w:rPr>
          <w:rFonts w:ascii="Times New Roman" w:hAnsi="Times New Roman" w:cs="Times New Roman"/>
          <w:sz w:val="20"/>
          <w:szCs w:val="20"/>
        </w:rPr>
      </w:pPr>
    </w:p>
    <w:p w14:paraId="73E7B6E0" w14:textId="7DA1F6F4"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11254" w:dyaOrig="3249" w14:anchorId="4B8978AF">
          <v:shape id="_x0000_i1028" type="#_x0000_t75" style="width:341pt;height:98.5pt" o:ole="">
            <v:imagedata r:id="rId18" o:title=""/>
          </v:shape>
          <o:OLEObject Type="Embed" ProgID="Visio.Drawing.11" ShapeID="_x0000_i1028" DrawAspect="Content" ObjectID="_1545489425" r:id="rId19"/>
        </w:object>
      </w:r>
    </w:p>
    <w:p w14:paraId="1B5F9F65" w14:textId="67EBD885"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(b)</w:t>
      </w:r>
    </w:p>
    <w:p w14:paraId="3E72AE72" w14:textId="77777777" w:rsidR="00184EBD" w:rsidRPr="00A80B98" w:rsidRDefault="00184EBD" w:rsidP="00184EBD">
      <w:pPr>
        <w:jc w:val="center"/>
        <w:rPr>
          <w:rFonts w:ascii="Times New Roman" w:hAnsi="Times New Roman" w:cs="Times New Roman"/>
          <w:sz w:val="20"/>
          <w:szCs w:val="20"/>
        </w:rPr>
      </w:pPr>
    </w:p>
    <w:p w14:paraId="509B3390" w14:textId="7EDB9913"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 xml:space="preserve">Figure 3: Example of decoding procedure (a) No errors for CB1 (b) Errors in CB1 </w:t>
      </w:r>
    </w:p>
    <w:p w14:paraId="44AA628D" w14:textId="77777777" w:rsidR="0040350D" w:rsidRDefault="0040350D" w:rsidP="0040350D">
      <w:pPr>
        <w:jc w:val="both"/>
        <w:rPr>
          <w:rFonts w:ascii="Times New Roman" w:hAnsi="Times New Roman" w:cs="Times New Roman"/>
          <w:sz w:val="20"/>
          <w:lang w:eastAsia="zh-CN"/>
        </w:rPr>
      </w:pPr>
      <w:r w:rsidRPr="0040350D">
        <w:rPr>
          <w:rFonts w:ascii="Times New Roman" w:hAnsi="Times New Roman" w:cs="Times New Roman"/>
          <w:sz w:val="20"/>
          <w:lang w:eastAsia="zh-CN"/>
        </w:rPr>
        <w:t xml:space="preserve">The same principle can be applied to pipeline processing where padding can be done such a way that adjacent CBs are not used for padding. The first set of CBs can be padded with the second set of CBs rather than a sequential padding technique described above. </w:t>
      </w:r>
    </w:p>
    <w:p w14:paraId="6CBC6FB3" w14:textId="27FEB71B" w:rsidR="00CC3C76" w:rsidRDefault="00CC3C76" w:rsidP="00C5265C">
      <w:pPr>
        <w:pStyle w:val="Heading2"/>
        <w:rPr>
          <w:lang w:eastAsia="zh-CN"/>
        </w:rPr>
      </w:pPr>
      <w:r>
        <w:rPr>
          <w:lang w:eastAsia="zh-CN"/>
        </w:rPr>
        <w:t>2.3</w:t>
      </w:r>
      <w:r w:rsidR="00C5265C">
        <w:rPr>
          <w:lang w:eastAsia="zh-CN"/>
        </w:rPr>
        <w:tab/>
      </w:r>
      <w:r>
        <w:rPr>
          <w:lang w:eastAsia="zh-CN"/>
        </w:rPr>
        <w:t xml:space="preserve">RNTI padding </w:t>
      </w:r>
    </w:p>
    <w:p w14:paraId="731D2E84" w14:textId="2E18DE0E" w:rsidR="006557B6" w:rsidRPr="00A80B98" w:rsidRDefault="00A80B98" w:rsidP="001556C4">
      <w:pPr>
        <w:jc w:val="both"/>
        <w:rPr>
          <w:rFonts w:ascii="Times New Roman" w:hAnsi="Times New Roman" w:cs="Times New Roman"/>
          <w:sz w:val="20"/>
          <w:szCs w:val="20"/>
        </w:rPr>
      </w:pPr>
      <w:r w:rsidRPr="00A80B98">
        <w:rPr>
          <w:rFonts w:ascii="Times New Roman" w:hAnsi="Times New Roman" w:cs="Times New Roman"/>
          <w:sz w:val="20"/>
          <w:szCs w:val="20"/>
          <w:lang w:eastAsia="zh-CN"/>
        </w:rPr>
        <w:t>Padding can also</w:t>
      </w:r>
      <w:r w:rsidR="006E42C4">
        <w:rPr>
          <w:rFonts w:ascii="Times New Roman" w:hAnsi="Times New Roman" w:cs="Times New Roman"/>
          <w:sz w:val="20"/>
          <w:szCs w:val="20"/>
          <w:lang w:eastAsia="zh-CN"/>
        </w:rPr>
        <w:t xml:space="preserve"> be</w:t>
      </w:r>
      <w:r w:rsidRPr="00A80B98">
        <w:rPr>
          <w:rFonts w:ascii="Times New Roman" w:hAnsi="Times New Roman" w:cs="Times New Roman"/>
          <w:sz w:val="20"/>
          <w:szCs w:val="20"/>
          <w:lang w:eastAsia="zh-CN"/>
        </w:rPr>
        <w:t xml:space="preserve"> use</w:t>
      </w:r>
      <w:r w:rsidR="006E42C4">
        <w:rPr>
          <w:rFonts w:ascii="Times New Roman" w:hAnsi="Times New Roman" w:cs="Times New Roman"/>
          <w:sz w:val="20"/>
          <w:szCs w:val="20"/>
          <w:lang w:eastAsia="zh-CN"/>
        </w:rPr>
        <w:t>d</w:t>
      </w:r>
      <w:r w:rsidRPr="00A80B98">
        <w:rPr>
          <w:rFonts w:ascii="Times New Roman" w:hAnsi="Times New Roman" w:cs="Times New Roman"/>
          <w:sz w:val="20"/>
          <w:szCs w:val="20"/>
          <w:lang w:eastAsia="zh-CN"/>
        </w:rPr>
        <w:t xml:space="preserve"> for user </w:t>
      </w:r>
      <w:r w:rsidR="00B231DF">
        <w:rPr>
          <w:rFonts w:ascii="Times New Roman" w:hAnsi="Times New Roman" w:cs="Times New Roman"/>
          <w:sz w:val="20"/>
          <w:szCs w:val="20"/>
          <w:lang w:eastAsia="zh-CN"/>
        </w:rPr>
        <w:t>identification, where t</w:t>
      </w:r>
      <w:r w:rsidR="006557B6" w:rsidRPr="00A80B98">
        <w:rPr>
          <w:rFonts w:ascii="Times New Roman" w:hAnsi="Times New Roman" w:cs="Times New Roman"/>
          <w:sz w:val="20"/>
          <w:szCs w:val="20"/>
        </w:rPr>
        <w:t xml:space="preserve">he bits which identify the receiver (such as RNTI) and/or transmitter, are used as known bits with channel code shortening. </w:t>
      </w:r>
      <w:r w:rsidR="00B231DF">
        <w:rPr>
          <w:rFonts w:ascii="Times New Roman" w:hAnsi="Times New Roman" w:cs="Times New Roman"/>
          <w:sz w:val="20"/>
          <w:szCs w:val="20"/>
        </w:rPr>
        <w:t>In particular, t</w:t>
      </w:r>
      <w:r w:rsidR="006557B6" w:rsidRPr="00A80B98">
        <w:rPr>
          <w:rFonts w:ascii="Times New Roman" w:hAnsi="Times New Roman" w:cs="Times New Roman"/>
          <w:sz w:val="20"/>
          <w:szCs w:val="20"/>
        </w:rPr>
        <w:t>he data bits are multiplexed</w:t>
      </w:r>
      <w:r w:rsidR="00B231DF">
        <w:rPr>
          <w:rFonts w:ascii="Times New Roman" w:hAnsi="Times New Roman" w:cs="Times New Roman"/>
          <w:sz w:val="20"/>
          <w:szCs w:val="20"/>
        </w:rPr>
        <w:t xml:space="preserve"> or padded</w:t>
      </w:r>
      <w:r w:rsidR="006557B6" w:rsidRPr="00A80B98">
        <w:rPr>
          <w:rFonts w:ascii="Times New Roman" w:hAnsi="Times New Roman" w:cs="Times New Roman"/>
          <w:sz w:val="20"/>
          <w:szCs w:val="20"/>
        </w:rPr>
        <w:t xml:space="preserve"> with known UE id bits.</w:t>
      </w:r>
      <w:r w:rsidR="00B231DF">
        <w:rPr>
          <w:rFonts w:ascii="Times New Roman" w:hAnsi="Times New Roman" w:cs="Times New Roman"/>
          <w:sz w:val="20"/>
          <w:szCs w:val="20"/>
        </w:rPr>
        <w:t xml:space="preserve"> These UE id bits can serve the purpose of padding. </w:t>
      </w:r>
      <w:r w:rsidR="001556C4">
        <w:rPr>
          <w:rFonts w:ascii="Times New Roman" w:hAnsi="Times New Roman" w:cs="Times New Roman"/>
          <w:sz w:val="20"/>
          <w:szCs w:val="20"/>
        </w:rPr>
        <w:t xml:space="preserve">Figure 4 illustrate the encoding and decoding procedure for such kind of user identification with RNTI padding. </w:t>
      </w:r>
    </w:p>
    <w:p w14:paraId="418E6308" w14:textId="77777777" w:rsidR="006557B6" w:rsidRDefault="006557B6" w:rsidP="006557B6"/>
    <w:p w14:paraId="0E7A0519" w14:textId="77777777" w:rsidR="006557B6" w:rsidRDefault="006557B6" w:rsidP="006557B6">
      <w:r w:rsidRPr="00120D52">
        <w:rPr>
          <w:noProof/>
          <w:lang w:eastAsia="en-GB"/>
        </w:rPr>
        <w:drawing>
          <wp:inline distT="0" distB="0" distL="0" distR="0" wp14:anchorId="494514F4" wp14:editId="7A41A08A">
            <wp:extent cx="6570980" cy="17367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570980" cy="1736725"/>
                    </a:xfrm>
                    <a:prstGeom prst="rect">
                      <a:avLst/>
                    </a:prstGeom>
                  </pic:spPr>
                </pic:pic>
              </a:graphicData>
            </a:graphic>
          </wp:inline>
        </w:drawing>
      </w:r>
    </w:p>
    <w:p w14:paraId="7A2245BA" w14:textId="77777777" w:rsidR="006557B6" w:rsidRPr="002E19B8" w:rsidRDefault="006557B6" w:rsidP="006557B6">
      <w:pPr>
        <w:pStyle w:val="Caption"/>
        <w:rPr>
          <w:sz w:val="20"/>
          <w:szCs w:val="20"/>
        </w:rPr>
      </w:pPr>
      <w:bookmarkStart w:id="8" w:name="_Ref452636036"/>
    </w:p>
    <w:p w14:paraId="0FD9F2E0" w14:textId="77777777" w:rsidR="006557B6" w:rsidRPr="00B231DF" w:rsidRDefault="006557B6" w:rsidP="006557B6">
      <w:pPr>
        <w:pStyle w:val="Caption"/>
        <w:jc w:val="center"/>
        <w:rPr>
          <w:rFonts w:ascii="Times New Roman" w:hAnsi="Times New Roman" w:cs="Times New Roman"/>
          <w:b w:val="0"/>
          <w:i/>
          <w:sz w:val="20"/>
          <w:szCs w:val="20"/>
        </w:rPr>
      </w:pPr>
      <w:r w:rsidRPr="00B231DF">
        <w:rPr>
          <w:rFonts w:ascii="Times New Roman" w:hAnsi="Times New Roman" w:cs="Times New Roman"/>
          <w:b w:val="0"/>
          <w:sz w:val="20"/>
          <w:szCs w:val="20"/>
        </w:rPr>
        <w:t xml:space="preserve">Figure </w:t>
      </w:r>
      <w:r w:rsidRPr="00B231DF">
        <w:rPr>
          <w:rFonts w:ascii="Times New Roman" w:hAnsi="Times New Roman" w:cs="Times New Roman"/>
          <w:b w:val="0"/>
          <w:i/>
          <w:sz w:val="20"/>
          <w:szCs w:val="20"/>
        </w:rPr>
        <w:fldChar w:fldCharType="begin"/>
      </w:r>
      <w:r w:rsidRPr="00B231DF">
        <w:rPr>
          <w:rFonts w:ascii="Times New Roman" w:hAnsi="Times New Roman" w:cs="Times New Roman"/>
          <w:b w:val="0"/>
          <w:sz w:val="20"/>
          <w:szCs w:val="20"/>
        </w:rPr>
        <w:instrText xml:space="preserve"> SEQ Figure \* ARABIC </w:instrText>
      </w:r>
      <w:r w:rsidRPr="00B231DF">
        <w:rPr>
          <w:rFonts w:ascii="Times New Roman" w:hAnsi="Times New Roman" w:cs="Times New Roman"/>
          <w:b w:val="0"/>
          <w:i/>
          <w:sz w:val="20"/>
          <w:szCs w:val="20"/>
        </w:rPr>
        <w:fldChar w:fldCharType="separate"/>
      </w:r>
      <w:r w:rsidRPr="00B231DF">
        <w:rPr>
          <w:rFonts w:ascii="Times New Roman" w:hAnsi="Times New Roman" w:cs="Times New Roman"/>
          <w:b w:val="0"/>
          <w:noProof/>
          <w:sz w:val="20"/>
          <w:szCs w:val="20"/>
        </w:rPr>
        <w:t>1</w:t>
      </w:r>
      <w:r w:rsidRPr="00B231DF">
        <w:rPr>
          <w:rFonts w:ascii="Times New Roman" w:hAnsi="Times New Roman" w:cs="Times New Roman"/>
          <w:b w:val="0"/>
          <w:i/>
          <w:noProof/>
          <w:sz w:val="20"/>
          <w:szCs w:val="20"/>
        </w:rPr>
        <w:fldChar w:fldCharType="end"/>
      </w:r>
      <w:bookmarkEnd w:id="8"/>
      <w:r w:rsidRPr="00B231DF">
        <w:rPr>
          <w:rFonts w:ascii="Times New Roman" w:hAnsi="Times New Roman" w:cs="Times New Roman"/>
          <w:b w:val="0"/>
          <w:sz w:val="20"/>
          <w:szCs w:val="20"/>
        </w:rPr>
        <w:t xml:space="preserve"> : Encoding and decoding procedure with RNTI padding </w:t>
      </w:r>
    </w:p>
    <w:p w14:paraId="37472A0E" w14:textId="77777777" w:rsidR="006557B6" w:rsidRDefault="006557B6" w:rsidP="006557B6"/>
    <w:p w14:paraId="09C568E2" w14:textId="6F3BE147" w:rsidR="006557B6" w:rsidRDefault="006E42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sz w:val="20"/>
          <w:szCs w:val="20"/>
        </w:rPr>
        <w:lastRenderedPageBreak/>
        <w:t>Even though</w:t>
      </w:r>
      <w:r w:rsidR="00B231DF" w:rsidRPr="001556C4">
        <w:rPr>
          <w:rFonts w:ascii="Times New Roman" w:hAnsi="Times New Roman" w:cs="Times New Roman"/>
          <w:sz w:val="20"/>
          <w:szCs w:val="20"/>
        </w:rPr>
        <w:t xml:space="preserve"> the use of such user identification is not currently identified as a requirement of eMBB</w:t>
      </w:r>
      <w:r w:rsidR="001556C4" w:rsidRPr="001556C4">
        <w:rPr>
          <w:rFonts w:ascii="Times New Roman" w:hAnsi="Times New Roman" w:cs="Times New Roman"/>
          <w:sz w:val="20"/>
          <w:szCs w:val="20"/>
        </w:rPr>
        <w:t xml:space="preserve"> data</w:t>
      </w:r>
      <w:r w:rsidR="00B231DF" w:rsidRPr="001556C4">
        <w:rPr>
          <w:rFonts w:ascii="Times New Roman" w:hAnsi="Times New Roman" w:cs="Times New Roman"/>
          <w:sz w:val="20"/>
          <w:szCs w:val="20"/>
        </w:rPr>
        <w:t xml:space="preserve">, this kind of padding provide physical layer security features </w:t>
      </w:r>
      <w:r w:rsidR="001556C4" w:rsidRPr="001556C4">
        <w:rPr>
          <w:rFonts w:ascii="Times New Roman" w:hAnsi="Times New Roman" w:cs="Times New Roman"/>
          <w:sz w:val="20"/>
          <w:szCs w:val="20"/>
        </w:rPr>
        <w:t xml:space="preserve">by not limiting the use of padding requirements for encoding. </w:t>
      </w:r>
    </w:p>
    <w:p w14:paraId="7B28FBCC" w14:textId="77777777" w:rsidR="001556C4" w:rsidRDefault="001556C4" w:rsidP="001556C4">
      <w:pPr>
        <w:spacing w:after="0" w:line="240" w:lineRule="auto"/>
        <w:jc w:val="both"/>
        <w:rPr>
          <w:rFonts w:ascii="Times New Roman" w:hAnsi="Times New Roman" w:cs="Times New Roman"/>
          <w:sz w:val="20"/>
          <w:szCs w:val="20"/>
        </w:rPr>
      </w:pPr>
    </w:p>
    <w:p w14:paraId="6E50C25C" w14:textId="5F5B2589"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b/>
          <w:sz w:val="20"/>
          <w:szCs w:val="20"/>
        </w:rPr>
        <w:t xml:space="preserve">Proposal </w:t>
      </w:r>
      <w:r w:rsidR="006E42C4" w:rsidRPr="001556C4">
        <w:rPr>
          <w:rFonts w:ascii="Times New Roman" w:hAnsi="Times New Roman" w:cs="Times New Roman"/>
          <w:b/>
          <w:sz w:val="20"/>
          <w:szCs w:val="20"/>
        </w:rPr>
        <w:t>1:</w:t>
      </w:r>
      <w:r>
        <w:rPr>
          <w:rFonts w:ascii="Times New Roman" w:hAnsi="Times New Roman" w:cs="Times New Roman"/>
          <w:sz w:val="20"/>
          <w:szCs w:val="20"/>
        </w:rPr>
        <w:t xml:space="preserve"> Different padding </w:t>
      </w:r>
      <w:r w:rsidR="006E42C4">
        <w:rPr>
          <w:rFonts w:ascii="Times New Roman" w:hAnsi="Times New Roman" w:cs="Times New Roman"/>
          <w:sz w:val="20"/>
          <w:szCs w:val="20"/>
        </w:rPr>
        <w:t>techniques</w:t>
      </w:r>
      <w:r>
        <w:rPr>
          <w:rFonts w:ascii="Times New Roman" w:hAnsi="Times New Roman" w:cs="Times New Roman"/>
          <w:sz w:val="20"/>
          <w:szCs w:val="20"/>
        </w:rPr>
        <w:t xml:space="preserve"> should be used with LDPC codes to satisfy various requirements of NR. </w:t>
      </w:r>
    </w:p>
    <w:p w14:paraId="3E517D68" w14:textId="29BE695F" w:rsidR="00C5265C" w:rsidRDefault="00C5265C" w:rsidP="00C5265C">
      <w:pPr>
        <w:pStyle w:val="Heading2"/>
        <w:rPr>
          <w:lang w:eastAsia="zh-CN"/>
        </w:rPr>
      </w:pPr>
    </w:p>
    <w:bookmarkEnd w:id="6"/>
    <w:bookmarkEnd w:id="7"/>
    <w:p w14:paraId="2F250B90" w14:textId="4026197A" w:rsidR="0061657A" w:rsidRPr="00817ECB" w:rsidRDefault="0061657A" w:rsidP="0061657A">
      <w:pPr>
        <w:pStyle w:val="Heading1"/>
      </w:pPr>
      <w:r w:rsidRPr="003F3B54">
        <w:rPr>
          <w:lang w:eastAsia="zh-CN"/>
        </w:rPr>
        <w:t>3</w:t>
      </w:r>
      <w:r w:rsidRPr="003F3B54">
        <w:tab/>
        <w:t>Conclusion</w:t>
      </w:r>
    </w:p>
    <w:p w14:paraId="4D518FD4" w14:textId="73C5D862"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sz w:val="20"/>
          <w:szCs w:val="20"/>
        </w:rPr>
        <w:t xml:space="preserve">In this contribution, we discussed several padding techniques to be used with LDPC codes and propose following, </w:t>
      </w:r>
    </w:p>
    <w:p w14:paraId="4D07856B" w14:textId="77777777" w:rsidR="001556C4" w:rsidRPr="001556C4" w:rsidRDefault="001556C4" w:rsidP="001556C4">
      <w:pPr>
        <w:spacing w:after="0" w:line="240" w:lineRule="auto"/>
        <w:jc w:val="both"/>
        <w:rPr>
          <w:rFonts w:ascii="Times New Roman" w:hAnsi="Times New Roman" w:cs="Times New Roman"/>
          <w:sz w:val="20"/>
          <w:szCs w:val="20"/>
        </w:rPr>
      </w:pPr>
    </w:p>
    <w:p w14:paraId="6FB9FDFC" w14:textId="2D139C64"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b/>
          <w:sz w:val="20"/>
          <w:szCs w:val="20"/>
        </w:rPr>
        <w:t xml:space="preserve">Proposal </w:t>
      </w:r>
      <w:r w:rsidR="006E42C4" w:rsidRPr="001556C4">
        <w:rPr>
          <w:rFonts w:ascii="Times New Roman" w:hAnsi="Times New Roman" w:cs="Times New Roman"/>
          <w:b/>
          <w:sz w:val="20"/>
          <w:szCs w:val="20"/>
        </w:rPr>
        <w:t>1:</w:t>
      </w:r>
      <w:r w:rsidRPr="001556C4">
        <w:rPr>
          <w:rFonts w:ascii="Times New Roman" w:hAnsi="Times New Roman" w:cs="Times New Roman"/>
          <w:sz w:val="20"/>
          <w:szCs w:val="20"/>
        </w:rPr>
        <w:t xml:space="preserve"> Different padding </w:t>
      </w:r>
      <w:r w:rsidR="006E42C4" w:rsidRPr="001556C4">
        <w:rPr>
          <w:rFonts w:ascii="Times New Roman" w:hAnsi="Times New Roman" w:cs="Times New Roman"/>
          <w:sz w:val="20"/>
          <w:szCs w:val="20"/>
        </w:rPr>
        <w:t>techniques</w:t>
      </w:r>
      <w:r w:rsidRPr="001556C4">
        <w:rPr>
          <w:rFonts w:ascii="Times New Roman" w:hAnsi="Times New Roman" w:cs="Times New Roman"/>
          <w:sz w:val="20"/>
          <w:szCs w:val="20"/>
        </w:rPr>
        <w:t xml:space="preserve"> should be used with LDPC codes to satisfy various requirements of NR. </w:t>
      </w:r>
    </w:p>
    <w:p w14:paraId="6501B400" w14:textId="77777777" w:rsidR="009058A0" w:rsidRPr="003F3B54" w:rsidRDefault="009058A0" w:rsidP="009058A0">
      <w:pPr>
        <w:pStyle w:val="Heading1"/>
        <w:rPr>
          <w:lang w:eastAsia="zh-CN"/>
        </w:rPr>
      </w:pPr>
      <w:r w:rsidRPr="003F3B54">
        <w:rPr>
          <w:lang w:eastAsia="zh-CN"/>
        </w:rPr>
        <w:t>References</w:t>
      </w:r>
    </w:p>
    <w:p w14:paraId="253B1FCD" w14:textId="30BD1731" w:rsidR="00497430" w:rsidRPr="00497430" w:rsidRDefault="00497430" w:rsidP="00497430">
      <w:pPr>
        <w:pStyle w:val="ListParagraph"/>
        <w:numPr>
          <w:ilvl w:val="0"/>
          <w:numId w:val="1"/>
        </w:numPr>
        <w:spacing w:after="120"/>
        <w:jc w:val="both"/>
        <w:rPr>
          <w:rFonts w:ascii="Times New Roman" w:hAnsi="Times New Roman" w:cs="Times New Roman"/>
          <w:sz w:val="20"/>
          <w:szCs w:val="20"/>
        </w:rPr>
      </w:pPr>
      <w:r w:rsidRPr="00497430">
        <w:rPr>
          <w:rFonts w:ascii="Times New Roman" w:hAnsi="Times New Roman" w:cs="Times New Roman"/>
          <w:sz w:val="20"/>
          <w:szCs w:val="20"/>
        </w:rPr>
        <w:t xml:space="preserve">R1-1610143 </w:t>
      </w:r>
      <w:r>
        <w:rPr>
          <w:rFonts w:ascii="Times New Roman" w:hAnsi="Times New Roman" w:cs="Times New Roman"/>
          <w:sz w:val="20"/>
          <w:szCs w:val="20"/>
        </w:rPr>
        <w:t>“</w:t>
      </w:r>
      <w:r w:rsidRPr="00497430">
        <w:rPr>
          <w:rFonts w:ascii="Times New Roman" w:hAnsi="Times New Roman" w:cs="Times New Roman"/>
          <w:sz w:val="20"/>
          <w:szCs w:val="20"/>
        </w:rPr>
        <w:t>Erasure coding and HARQ design</w:t>
      </w:r>
      <w:r>
        <w:rPr>
          <w:rFonts w:ascii="Times New Roman" w:hAnsi="Times New Roman" w:cs="Times New Roman"/>
          <w:sz w:val="20"/>
          <w:szCs w:val="20"/>
        </w:rPr>
        <w:t>”,</w:t>
      </w:r>
      <w:r w:rsidRPr="00497430">
        <w:rPr>
          <w:rFonts w:ascii="Times New Roman" w:hAnsi="Times New Roman" w:cs="Times New Roman"/>
          <w:sz w:val="20"/>
          <w:szCs w:val="20"/>
        </w:rPr>
        <w:t xml:space="preserve"> Qualcomm Incorporated </w:t>
      </w:r>
    </w:p>
    <w:p w14:paraId="18EF9A65" w14:textId="612F87EB" w:rsidR="00104729" w:rsidRPr="00497430" w:rsidRDefault="00497430" w:rsidP="00497430">
      <w:pPr>
        <w:pStyle w:val="ListParagraph"/>
        <w:numPr>
          <w:ilvl w:val="0"/>
          <w:numId w:val="1"/>
        </w:numPr>
        <w:spacing w:after="120"/>
        <w:jc w:val="both"/>
        <w:rPr>
          <w:rFonts w:ascii="Times New Roman" w:hAnsi="Times New Roman" w:cs="Times New Roman"/>
          <w:sz w:val="20"/>
          <w:szCs w:val="20"/>
        </w:rPr>
      </w:pPr>
      <w:r w:rsidRPr="00497430">
        <w:rPr>
          <w:rFonts w:ascii="Times New Roman" w:hAnsi="Times New Roman" w:cs="Times New Roman"/>
          <w:sz w:val="20"/>
          <w:szCs w:val="20"/>
        </w:rPr>
        <w:t>R1-1611115 “Consideration on outer codes for NR”</w:t>
      </w:r>
      <w:r>
        <w:rPr>
          <w:rFonts w:ascii="Times New Roman" w:hAnsi="Times New Roman" w:cs="Times New Roman"/>
          <w:sz w:val="20"/>
          <w:szCs w:val="20"/>
        </w:rPr>
        <w:t>,</w:t>
      </w:r>
      <w:r w:rsidRPr="00497430">
        <w:rPr>
          <w:rFonts w:ascii="Times New Roman" w:hAnsi="Times New Roman" w:cs="Times New Roman"/>
          <w:sz w:val="20"/>
          <w:szCs w:val="20"/>
        </w:rPr>
        <w:t xml:space="preserve"> ZTE, ZTE Microelectronics</w:t>
      </w:r>
      <w:r w:rsidR="00B231DF" w:rsidRPr="00497430">
        <w:rPr>
          <w:rFonts w:ascii="Times New Roman" w:hAnsi="Times New Roman" w:cs="Times New Roman"/>
          <w:sz w:val="20"/>
          <w:szCs w:val="20"/>
        </w:rPr>
        <w:t xml:space="preserve"> </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sectPr w:rsidR="007469E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5DE7E" w14:textId="77777777" w:rsidR="00713DB3" w:rsidRDefault="00713DB3">
      <w:r>
        <w:separator/>
      </w:r>
    </w:p>
  </w:endnote>
  <w:endnote w:type="continuationSeparator" w:id="0">
    <w:p w14:paraId="4B9C06B4" w14:textId="77777777" w:rsidR="00713DB3" w:rsidRDefault="0071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4B26D" w14:textId="77777777" w:rsidR="00713DB3" w:rsidRDefault="00713DB3">
      <w:r>
        <w:separator/>
      </w:r>
    </w:p>
  </w:footnote>
  <w:footnote w:type="continuationSeparator" w:id="0">
    <w:p w14:paraId="62F86E61" w14:textId="77777777" w:rsidR="00713DB3" w:rsidRDefault="00713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EC69F0"/>
    <w:multiLevelType w:val="hybridMultilevel"/>
    <w:tmpl w:val="AE7E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2"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23"/>
  </w:num>
  <w:num w:numId="4">
    <w:abstractNumId w:val="34"/>
  </w:num>
  <w:num w:numId="5">
    <w:abstractNumId w:val="43"/>
  </w:num>
  <w:num w:numId="6">
    <w:abstractNumId w:val="29"/>
  </w:num>
  <w:num w:numId="7">
    <w:abstractNumId w:val="10"/>
  </w:num>
  <w:num w:numId="8">
    <w:abstractNumId w:val="33"/>
  </w:num>
  <w:num w:numId="9">
    <w:abstractNumId w:val="27"/>
  </w:num>
  <w:num w:numId="10">
    <w:abstractNumId w:val="4"/>
  </w:num>
  <w:num w:numId="11">
    <w:abstractNumId w:val="22"/>
  </w:num>
  <w:num w:numId="12">
    <w:abstractNumId w:val="0"/>
  </w:num>
  <w:num w:numId="13">
    <w:abstractNumId w:val="42"/>
  </w:num>
  <w:num w:numId="14">
    <w:abstractNumId w:val="14"/>
  </w:num>
  <w:num w:numId="15">
    <w:abstractNumId w:val="26"/>
  </w:num>
  <w:num w:numId="16">
    <w:abstractNumId w:val="8"/>
  </w:num>
  <w:num w:numId="17">
    <w:abstractNumId w:val="16"/>
  </w:num>
  <w:num w:numId="18">
    <w:abstractNumId w:val="32"/>
  </w:num>
  <w:num w:numId="19">
    <w:abstractNumId w:val="30"/>
  </w:num>
  <w:num w:numId="20">
    <w:abstractNumId w:val="20"/>
  </w:num>
  <w:num w:numId="21">
    <w:abstractNumId w:val="41"/>
  </w:num>
  <w:num w:numId="22">
    <w:abstractNumId w:val="24"/>
  </w:num>
  <w:num w:numId="23">
    <w:abstractNumId w:val="38"/>
  </w:num>
  <w:num w:numId="24">
    <w:abstractNumId w:val="21"/>
    <w:lvlOverride w:ilvl="0">
      <w:startOverride w:val="1"/>
    </w:lvlOverride>
  </w:num>
  <w:num w:numId="25">
    <w:abstractNumId w:val="40"/>
  </w:num>
  <w:num w:numId="26">
    <w:abstractNumId w:val="3"/>
  </w:num>
  <w:num w:numId="27">
    <w:abstractNumId w:val="19"/>
  </w:num>
  <w:num w:numId="28">
    <w:abstractNumId w:val="18"/>
  </w:num>
  <w:num w:numId="29">
    <w:abstractNumId w:val="28"/>
  </w:num>
  <w:num w:numId="30">
    <w:abstractNumId w:val="9"/>
  </w:num>
  <w:num w:numId="31">
    <w:abstractNumId w:val="39"/>
  </w:num>
  <w:num w:numId="32">
    <w:abstractNumId w:val="1"/>
  </w:num>
  <w:num w:numId="33">
    <w:abstractNumId w:val="7"/>
  </w:num>
  <w:num w:numId="34">
    <w:abstractNumId w:val="13"/>
  </w:num>
  <w:num w:numId="35">
    <w:abstractNumId w:val="6"/>
  </w:num>
  <w:num w:numId="36">
    <w:abstractNumId w:val="17"/>
  </w:num>
  <w:num w:numId="37">
    <w:abstractNumId w:val="25"/>
  </w:num>
  <w:num w:numId="38">
    <w:abstractNumId w:val="36"/>
  </w:num>
  <w:num w:numId="39">
    <w:abstractNumId w:val="31"/>
  </w:num>
  <w:num w:numId="40">
    <w:abstractNumId w:val="37"/>
  </w:num>
  <w:num w:numId="41">
    <w:abstractNumId w:val="5"/>
  </w:num>
  <w:num w:numId="42">
    <w:abstractNumId w:val="12"/>
  </w:num>
  <w:num w:numId="43">
    <w:abstractNumId w:val="35"/>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837"/>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53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035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353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A4F020-397C-40E5-9403-8A47ECA8F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6901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2017-01-09T08:25:00Z</dcterms:created>
  <dcterms:modified xsi:type="dcterms:W3CDTF">2017-01-09T15:50:00Z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